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E5" w:rsidRPr="009B57E5" w:rsidRDefault="009B57E5" w:rsidP="009B57E5">
      <w:pPr>
        <w:jc w:val="center"/>
        <w:rPr>
          <w:rFonts w:ascii="Book Antiqua" w:hAnsi="Book Antiqua"/>
          <w:b/>
          <w:sz w:val="24"/>
          <w:szCs w:val="20"/>
        </w:rPr>
      </w:pPr>
      <w:r w:rsidRPr="009B57E5">
        <w:rPr>
          <w:rFonts w:ascii="Book Antiqua" w:hAnsi="Book Antiqua"/>
          <w:b/>
          <w:sz w:val="28"/>
        </w:rPr>
        <w:t>Rozsah a harmonogram údržby</w:t>
      </w:r>
    </w:p>
    <w:p w:rsidR="009B57E5" w:rsidRDefault="009B57E5" w:rsidP="009B57E5">
      <w:pPr>
        <w:rPr>
          <w:rFonts w:ascii="Book Antiqua" w:hAnsi="Book Antiqua"/>
          <w:b/>
          <w:sz w:val="20"/>
          <w:szCs w:val="20"/>
        </w:rPr>
      </w:pPr>
    </w:p>
    <w:p w:rsidR="009B57E5" w:rsidRPr="00E21A01" w:rsidRDefault="009B57E5" w:rsidP="009B57E5">
      <w:pPr>
        <w:rPr>
          <w:rFonts w:ascii="Book Antiqua" w:hAnsi="Book Antiqua"/>
          <w:b/>
          <w:sz w:val="20"/>
          <w:szCs w:val="20"/>
        </w:rPr>
      </w:pPr>
      <w:r w:rsidRPr="00E21A01">
        <w:rPr>
          <w:rFonts w:ascii="Book Antiqua" w:hAnsi="Book Antiqua"/>
          <w:b/>
          <w:sz w:val="20"/>
          <w:szCs w:val="20"/>
        </w:rPr>
        <w:t>Termíny pravidelné prohlídky</w:t>
      </w:r>
      <w:r>
        <w:rPr>
          <w:rFonts w:ascii="Book Antiqua" w:hAnsi="Book Antiqua"/>
          <w:b/>
          <w:sz w:val="20"/>
          <w:szCs w:val="20"/>
        </w:rPr>
        <w:t xml:space="preserve"> prováděné v místě objednatele</w:t>
      </w:r>
      <w:r w:rsidRPr="00E21A01">
        <w:rPr>
          <w:rFonts w:ascii="Book Antiqua" w:hAnsi="Book Antiqua"/>
          <w:b/>
          <w:sz w:val="20"/>
          <w:szCs w:val="20"/>
        </w:rPr>
        <w:t>:</w:t>
      </w:r>
    </w:p>
    <w:p w:rsidR="009B57E5" w:rsidRPr="00E21A01" w:rsidRDefault="009B57E5" w:rsidP="009B57E5">
      <w:pPr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První prohlídka do: 31.3. příslušného kalendářního roku.</w:t>
      </w:r>
    </w:p>
    <w:p w:rsidR="009B57E5" w:rsidRPr="00E21A01" w:rsidRDefault="009B57E5" w:rsidP="009B57E5">
      <w:pPr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Druhá prohlídka:     30.6. příslušného kalendářního roku.</w:t>
      </w:r>
    </w:p>
    <w:p w:rsidR="009B57E5" w:rsidRPr="00E21A01" w:rsidRDefault="009B57E5" w:rsidP="009B57E5">
      <w:pPr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Třetí prohlídka:        30.9. příslušného kalendářního roku.</w:t>
      </w:r>
    </w:p>
    <w:p w:rsidR="009B57E5" w:rsidRPr="00E21A01" w:rsidRDefault="009B57E5" w:rsidP="009B57E5">
      <w:pPr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Čtvrtá prohlídka:      31.12. příslušného kalendářního roku.</w:t>
      </w:r>
      <w:bookmarkStart w:id="0" w:name="_GoBack"/>
      <w:bookmarkEnd w:id="0"/>
    </w:p>
    <w:p w:rsidR="009B57E5" w:rsidRDefault="009B57E5" w:rsidP="009B57E5">
      <w:pPr>
        <w:rPr>
          <w:rFonts w:ascii="Book Antiqua" w:hAnsi="Book Antiqua"/>
          <w:sz w:val="20"/>
          <w:szCs w:val="20"/>
        </w:rPr>
      </w:pPr>
    </w:p>
    <w:p w:rsidR="009B57E5" w:rsidRPr="00E21A01" w:rsidRDefault="009B57E5" w:rsidP="009B57E5">
      <w:pPr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Poskytovatel oznámí termín zástupci objednatele minimálně 7dní před zahájením prací na email, telefon. Zástupce objednatele potvrdí termín.</w:t>
      </w:r>
    </w:p>
    <w:p w:rsidR="009B57E5" w:rsidRDefault="009B57E5" w:rsidP="009B57E5">
      <w:pPr>
        <w:rPr>
          <w:rFonts w:ascii="Book Antiqua" w:hAnsi="Book Antiqua"/>
          <w:b/>
          <w:sz w:val="20"/>
          <w:szCs w:val="20"/>
        </w:rPr>
      </w:pPr>
    </w:p>
    <w:p w:rsidR="009B57E5" w:rsidRPr="00E21A01" w:rsidRDefault="009B57E5" w:rsidP="009B57E5">
      <w:pPr>
        <w:rPr>
          <w:rFonts w:ascii="Book Antiqua" w:hAnsi="Book Antiqua"/>
          <w:b/>
          <w:sz w:val="20"/>
          <w:szCs w:val="20"/>
        </w:rPr>
      </w:pPr>
      <w:r w:rsidRPr="00E21A01">
        <w:rPr>
          <w:rFonts w:ascii="Book Antiqua" w:hAnsi="Book Antiqua"/>
          <w:b/>
          <w:sz w:val="20"/>
          <w:szCs w:val="20"/>
        </w:rPr>
        <w:t>Rozsah čtvrtletní prohlídky: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35" w:lineRule="auto"/>
        <w:ind w:right="255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Prohlídka zařízení ze strany provozovatele - kontrola kabeláže (přívodu napájení, komunikační linky)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35" w:lineRule="auto"/>
        <w:ind w:right="480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Kompletní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prohlídka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zařízení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z</w:t>
      </w:r>
      <w:r w:rsidRPr="00E21A01">
        <w:rPr>
          <w:rFonts w:ascii="Book Antiqua" w:hAnsi="Book Antiqua"/>
          <w:spacing w:val="-8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hlediska</w:t>
      </w:r>
      <w:r w:rsidRPr="00E21A01">
        <w:rPr>
          <w:rFonts w:ascii="Book Antiqua" w:hAnsi="Book Antiqua"/>
          <w:spacing w:val="-10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možných</w:t>
      </w:r>
      <w:r w:rsidRPr="00E21A01">
        <w:rPr>
          <w:rFonts w:ascii="Book Antiqua" w:hAnsi="Book Antiqua"/>
          <w:spacing w:val="-7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mechanických</w:t>
      </w:r>
      <w:r w:rsidRPr="00E21A01">
        <w:rPr>
          <w:rFonts w:ascii="Book Antiqua" w:hAnsi="Book Antiqua"/>
          <w:spacing w:val="-7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či</w:t>
      </w:r>
      <w:r w:rsidRPr="00E21A01">
        <w:rPr>
          <w:rFonts w:ascii="Book Antiqua" w:hAnsi="Book Antiqua"/>
          <w:spacing w:val="-8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elektronických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poškození (propojení komponent, kontrola funkce komunikačních</w:t>
      </w:r>
      <w:r w:rsidRPr="00E21A01">
        <w:rPr>
          <w:rFonts w:ascii="Book Antiqua" w:hAnsi="Book Antiqua"/>
          <w:spacing w:val="-12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prvků)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before="3" w:line="235" w:lineRule="auto"/>
        <w:ind w:right="741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Čištění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čtečky</w:t>
      </w:r>
      <w:r w:rsidRPr="00E21A01">
        <w:rPr>
          <w:rFonts w:ascii="Book Antiqua" w:hAnsi="Book Antiqua"/>
          <w:spacing w:val="-11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mincí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-jeho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mechanických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a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optických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součástí,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svodů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mincí,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kontrola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jeho funkce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before="1" w:line="235" w:lineRule="auto"/>
        <w:ind w:right="395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Čištění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čtečky</w:t>
      </w:r>
      <w:r w:rsidRPr="00E21A01">
        <w:rPr>
          <w:rFonts w:ascii="Book Antiqua" w:hAnsi="Book Antiqua"/>
          <w:spacing w:val="-10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bankovek -</w:t>
      </w:r>
      <w:r w:rsidRPr="00E21A01">
        <w:rPr>
          <w:rFonts w:ascii="Book Antiqua" w:hAnsi="Book Antiqua"/>
          <w:spacing w:val="-4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mechanické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prvky</w:t>
      </w:r>
      <w:r w:rsidRPr="00E21A01">
        <w:rPr>
          <w:rFonts w:ascii="Book Antiqua" w:hAnsi="Book Antiqua"/>
          <w:spacing w:val="-10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a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prvky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pro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kontrolu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pravosti</w:t>
      </w:r>
      <w:r w:rsidRPr="00E21A01">
        <w:rPr>
          <w:rFonts w:ascii="Book Antiqua" w:hAnsi="Book Antiqua"/>
          <w:spacing w:val="-4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bankovek,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kontrola její</w:t>
      </w:r>
      <w:r w:rsidRPr="00E21A01">
        <w:rPr>
          <w:rFonts w:ascii="Book Antiqua" w:hAnsi="Book Antiqua"/>
          <w:spacing w:val="-2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funkce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35" w:lineRule="auto"/>
        <w:ind w:right="11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Čištění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vydavače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bankovek -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mechanické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prvky</w:t>
      </w:r>
      <w:r w:rsidRPr="00E21A01">
        <w:rPr>
          <w:rFonts w:ascii="Book Antiqua" w:hAnsi="Book Antiqua"/>
          <w:spacing w:val="-8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a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prvky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pro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kontrolu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pravosti</w:t>
      </w:r>
      <w:r w:rsidRPr="00E21A01">
        <w:rPr>
          <w:rFonts w:ascii="Book Antiqua" w:hAnsi="Book Antiqua"/>
          <w:spacing w:val="-5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bankovek,</w:t>
      </w:r>
      <w:r w:rsidRPr="00E21A01">
        <w:rPr>
          <w:rFonts w:ascii="Book Antiqua" w:hAnsi="Book Antiqua"/>
          <w:spacing w:val="-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kontrola jeho</w:t>
      </w:r>
      <w:r w:rsidRPr="00E21A01">
        <w:rPr>
          <w:rFonts w:ascii="Book Antiqua" w:hAnsi="Book Antiqua"/>
          <w:spacing w:val="-2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funkce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27" w:lineRule="exact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Čištění tiskárny daňových dokladů - mechanické prvky, senzory detekce</w:t>
      </w:r>
      <w:r w:rsidRPr="00E21A01">
        <w:rPr>
          <w:rFonts w:ascii="Book Antiqua" w:hAnsi="Book Antiqua"/>
          <w:spacing w:val="-16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papíru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26" w:lineRule="exact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Kontrola funkce komunikačních</w:t>
      </w:r>
      <w:r w:rsidRPr="00E21A01">
        <w:rPr>
          <w:rFonts w:ascii="Book Antiqua" w:hAnsi="Book Antiqua"/>
          <w:spacing w:val="-3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zařízení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25" w:lineRule="exact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Kontrola databází systému, jejich záloha u zhotovitele, případný update SW a</w:t>
      </w:r>
      <w:r w:rsidRPr="00E21A01">
        <w:rPr>
          <w:rFonts w:ascii="Book Antiqua" w:hAnsi="Book Antiqua"/>
          <w:spacing w:val="-17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firmwarů</w:t>
      </w:r>
    </w:p>
    <w:p w:rsidR="009B57E5" w:rsidRPr="00E21A01" w:rsidRDefault="009B57E5" w:rsidP="009B57E5">
      <w:pPr>
        <w:numPr>
          <w:ilvl w:val="0"/>
          <w:numId w:val="1"/>
        </w:numPr>
        <w:tabs>
          <w:tab w:val="left" w:pos="870"/>
        </w:tabs>
        <w:spacing w:line="227" w:lineRule="exact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Vyhodnocení pokusů o defraudaci - projednání s</w:t>
      </w:r>
      <w:r w:rsidRPr="00E21A01">
        <w:rPr>
          <w:rFonts w:ascii="Book Antiqua" w:hAnsi="Book Antiqua"/>
          <w:spacing w:val="-7"/>
          <w:sz w:val="20"/>
          <w:szCs w:val="20"/>
        </w:rPr>
        <w:t xml:space="preserve"> </w:t>
      </w:r>
      <w:r w:rsidRPr="00E21A01">
        <w:rPr>
          <w:rFonts w:ascii="Book Antiqua" w:hAnsi="Book Antiqua"/>
          <w:sz w:val="20"/>
          <w:szCs w:val="20"/>
        </w:rPr>
        <w:t>objednatelem</w:t>
      </w:r>
    </w:p>
    <w:p w:rsidR="009B57E5" w:rsidRPr="00E21A01" w:rsidRDefault="009B57E5" w:rsidP="009B57E5">
      <w:pPr>
        <w:rPr>
          <w:rFonts w:ascii="Book Antiqua" w:hAnsi="Book Antiqua"/>
          <w:b/>
          <w:sz w:val="20"/>
          <w:szCs w:val="20"/>
        </w:rPr>
      </w:pPr>
    </w:p>
    <w:p w:rsidR="009B57E5" w:rsidRPr="00E21A01" w:rsidRDefault="009B57E5" w:rsidP="009B57E5">
      <w:pPr>
        <w:rPr>
          <w:rFonts w:ascii="Book Antiqua" w:hAnsi="Book Antiqua"/>
          <w:b/>
          <w:bCs/>
          <w:sz w:val="20"/>
          <w:szCs w:val="20"/>
        </w:rPr>
      </w:pPr>
      <w:r w:rsidRPr="00E21A01">
        <w:rPr>
          <w:rFonts w:ascii="Book Antiqua" w:hAnsi="Book Antiqua"/>
          <w:b/>
          <w:bCs/>
          <w:sz w:val="20"/>
          <w:szCs w:val="20"/>
        </w:rPr>
        <w:t>Činnosti prováděné celoročně</w:t>
      </w:r>
    </w:p>
    <w:p w:rsidR="009B57E5" w:rsidRPr="00E21A01" w:rsidRDefault="009B57E5" w:rsidP="009B57E5">
      <w:pPr>
        <w:rPr>
          <w:rFonts w:ascii="Book Antiqua" w:hAnsi="Book Antiqua"/>
          <w:bCs/>
          <w:sz w:val="20"/>
          <w:szCs w:val="20"/>
        </w:rPr>
      </w:pPr>
      <w:r w:rsidRPr="00E21A01">
        <w:rPr>
          <w:rFonts w:ascii="Book Antiqua" w:hAnsi="Book Antiqua"/>
          <w:bCs/>
          <w:sz w:val="20"/>
          <w:szCs w:val="20"/>
        </w:rPr>
        <w:t xml:space="preserve">Rozsah softwarové podpory </w:t>
      </w:r>
      <w:r w:rsidRPr="00E21A01">
        <w:rPr>
          <w:rFonts w:ascii="Book Antiqua" w:hAnsi="Book Antiqua"/>
          <w:bCs/>
          <w:i/>
          <w:sz w:val="20"/>
          <w:szCs w:val="20"/>
          <w:highlight w:val="lightGray"/>
        </w:rPr>
        <w:fldChar w:fldCharType="begin"/>
      </w:r>
      <w:r w:rsidRPr="00E21A01">
        <w:rPr>
          <w:rFonts w:ascii="Book Antiqua" w:hAnsi="Book Antiqua"/>
          <w:bCs/>
          <w:i/>
          <w:sz w:val="20"/>
          <w:szCs w:val="20"/>
          <w:highlight w:val="lightGray"/>
        </w:rPr>
        <w:instrText xml:space="preserve"> AUTOTEXT  Závorky  \* MERGEFORMAT </w:instrText>
      </w:r>
      <w:r w:rsidRPr="00E21A01">
        <w:rPr>
          <w:rFonts w:ascii="Book Antiqua" w:hAnsi="Book Antiqua"/>
          <w:bCs/>
          <w:i/>
          <w:sz w:val="20"/>
          <w:szCs w:val="20"/>
          <w:highlight w:val="lightGray"/>
        </w:rPr>
        <w:fldChar w:fldCharType="separate"/>
      </w:r>
      <w:r w:rsidRPr="00E21A01">
        <w:rPr>
          <w:rFonts w:ascii="Book Antiqua" w:hAnsi="Book Antiqua"/>
          <w:bCs/>
          <w:i/>
          <w:sz w:val="20"/>
          <w:szCs w:val="20"/>
          <w:highlight w:val="lightGray"/>
        </w:rPr>
        <w:t>[doplnit název dodávaného SW]</w:t>
      </w:r>
      <w:r w:rsidRPr="00E21A01">
        <w:rPr>
          <w:rFonts w:ascii="Book Antiqua" w:hAnsi="Book Antiqua"/>
          <w:bCs/>
          <w:i/>
          <w:sz w:val="20"/>
          <w:szCs w:val="20"/>
          <w:highlight w:val="lightGray"/>
        </w:rPr>
        <w:fldChar w:fldCharType="end"/>
      </w:r>
      <w:r w:rsidRPr="00E21A01">
        <w:rPr>
          <w:rFonts w:ascii="Book Antiqua" w:hAnsi="Book Antiqua"/>
          <w:bCs/>
          <w:i/>
          <w:sz w:val="20"/>
          <w:szCs w:val="20"/>
        </w:rPr>
        <w:t xml:space="preserve"> </w:t>
      </w:r>
      <w:r w:rsidRPr="00E21A01">
        <w:rPr>
          <w:rFonts w:ascii="Book Antiqua" w:hAnsi="Book Antiqua"/>
          <w:bCs/>
          <w:sz w:val="20"/>
          <w:szCs w:val="20"/>
        </w:rPr>
        <w:t>s napojením na informační systém GINIS:</w:t>
      </w:r>
    </w:p>
    <w:p w:rsidR="009B57E5" w:rsidRPr="00E21A01" w:rsidRDefault="009B57E5" w:rsidP="009B57E5">
      <w:pPr>
        <w:widowControl/>
        <w:numPr>
          <w:ilvl w:val="0"/>
          <w:numId w:val="3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Změny aplikačního SW vyvolané legislativními změnami</w:t>
      </w:r>
    </w:p>
    <w:p w:rsidR="009B57E5" w:rsidRPr="00E21A01" w:rsidRDefault="009B57E5" w:rsidP="009B57E5">
      <w:pPr>
        <w:widowControl/>
        <w:numPr>
          <w:ilvl w:val="0"/>
          <w:numId w:val="3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Úprava tiskových výstupů vázaných na legislativu</w:t>
      </w:r>
    </w:p>
    <w:p w:rsidR="009B57E5" w:rsidRPr="00E21A01" w:rsidRDefault="009B57E5" w:rsidP="009B57E5">
      <w:pPr>
        <w:widowControl/>
        <w:numPr>
          <w:ilvl w:val="0"/>
          <w:numId w:val="3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Poradenská činnost k aplikačnímu SW</w:t>
      </w:r>
    </w:p>
    <w:p w:rsidR="009B57E5" w:rsidRPr="00E21A01" w:rsidRDefault="009B57E5" w:rsidP="009B57E5">
      <w:pPr>
        <w:widowControl/>
        <w:numPr>
          <w:ilvl w:val="0"/>
          <w:numId w:val="3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Rady k lepšímu využití aplikačního SW</w:t>
      </w:r>
    </w:p>
    <w:p w:rsidR="009B57E5" w:rsidRPr="00E21A01" w:rsidRDefault="009B57E5" w:rsidP="009B57E5">
      <w:pPr>
        <w:widowControl/>
        <w:numPr>
          <w:ilvl w:val="0"/>
          <w:numId w:val="3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Pravidelná aktualizace zařízení a jeho rozhraní vzhledem k napojení na IS Ginis a udržování systému v aktuálním a funkčním stavu vzhledem k napojení na IS Ginis.</w:t>
      </w:r>
    </w:p>
    <w:p w:rsidR="009B57E5" w:rsidRPr="00E21A01" w:rsidRDefault="009B57E5" w:rsidP="009B57E5">
      <w:pPr>
        <w:rPr>
          <w:rFonts w:ascii="Book Antiqua" w:hAnsi="Book Antiqua"/>
          <w:b/>
          <w:bCs/>
          <w:sz w:val="20"/>
          <w:szCs w:val="20"/>
        </w:rPr>
      </w:pPr>
      <w:r w:rsidRPr="00E21A01">
        <w:rPr>
          <w:rFonts w:ascii="Book Antiqua" w:hAnsi="Book Antiqua"/>
          <w:b/>
          <w:bCs/>
          <w:sz w:val="20"/>
          <w:szCs w:val="20"/>
        </w:rPr>
        <w:t>Rozsah online centra podpory:</w:t>
      </w:r>
    </w:p>
    <w:p w:rsidR="009B57E5" w:rsidRPr="00E21A01" w:rsidRDefault="009B57E5" w:rsidP="009B57E5">
      <w:pPr>
        <w:widowControl/>
        <w:numPr>
          <w:ilvl w:val="0"/>
          <w:numId w:val="2"/>
        </w:numPr>
        <w:autoSpaceDE/>
        <w:autoSpaceDN/>
        <w:spacing w:after="160" w:line="259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</w:t>
      </w:r>
      <w:r w:rsidRPr="00E21A01">
        <w:rPr>
          <w:rFonts w:ascii="Book Antiqua" w:hAnsi="Book Antiqua"/>
          <w:sz w:val="20"/>
          <w:szCs w:val="20"/>
        </w:rPr>
        <w:t>oskytnutí vlastního helpdesku s možností zadávání a sledování stavu incidentu přes web rozhraní</w:t>
      </w:r>
    </w:p>
    <w:p w:rsidR="009B57E5" w:rsidRPr="00E21A01" w:rsidRDefault="009B57E5" w:rsidP="009B57E5">
      <w:pPr>
        <w:rPr>
          <w:rFonts w:ascii="Book Antiqua" w:hAnsi="Book Antiqua"/>
          <w:b/>
          <w:bCs/>
          <w:sz w:val="20"/>
          <w:szCs w:val="20"/>
        </w:rPr>
      </w:pPr>
      <w:r w:rsidRPr="00E21A01">
        <w:rPr>
          <w:rFonts w:ascii="Book Antiqua" w:hAnsi="Book Antiqua"/>
          <w:b/>
          <w:bCs/>
          <w:sz w:val="20"/>
          <w:szCs w:val="20"/>
        </w:rPr>
        <w:t>Rozsah vzdáleného monitoringu a diagnostiky:</w:t>
      </w:r>
    </w:p>
    <w:p w:rsidR="009B57E5" w:rsidRPr="00E21A01" w:rsidRDefault="009B57E5" w:rsidP="009B57E5">
      <w:pPr>
        <w:widowControl/>
        <w:numPr>
          <w:ilvl w:val="0"/>
          <w:numId w:val="4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Nepřetržité napojení na centrální systém technické podpory</w:t>
      </w:r>
    </w:p>
    <w:p w:rsidR="009B57E5" w:rsidRPr="00E21A01" w:rsidRDefault="009B57E5" w:rsidP="009B57E5">
      <w:pPr>
        <w:widowControl/>
        <w:numPr>
          <w:ilvl w:val="0"/>
          <w:numId w:val="4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 xml:space="preserve">Vzdálený monitoring </w:t>
      </w:r>
      <w:r>
        <w:rPr>
          <w:rFonts w:ascii="Book Antiqua" w:hAnsi="Book Antiqua"/>
          <w:sz w:val="20"/>
          <w:szCs w:val="20"/>
        </w:rPr>
        <w:t>platebního terminálu</w:t>
      </w:r>
      <w:r w:rsidRPr="00E21A01">
        <w:rPr>
          <w:rFonts w:ascii="Book Antiqua" w:hAnsi="Book Antiqua"/>
          <w:sz w:val="20"/>
          <w:szCs w:val="20"/>
        </w:rPr>
        <w:t xml:space="preserve"> pracovníky technické podpory</w:t>
      </w:r>
    </w:p>
    <w:p w:rsidR="009B57E5" w:rsidRPr="00E21A01" w:rsidRDefault="009B57E5" w:rsidP="009B57E5">
      <w:pPr>
        <w:widowControl/>
        <w:numPr>
          <w:ilvl w:val="0"/>
          <w:numId w:val="4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Automatická reakce pracovníka technické podpory podle typu incidentu</w:t>
      </w:r>
    </w:p>
    <w:p w:rsidR="009B57E5" w:rsidRPr="00E21A01" w:rsidRDefault="009B57E5" w:rsidP="009B57E5">
      <w:pPr>
        <w:widowControl/>
        <w:numPr>
          <w:ilvl w:val="0"/>
          <w:numId w:val="4"/>
        </w:numPr>
        <w:autoSpaceDE/>
        <w:autoSpaceDN/>
        <w:spacing w:after="120"/>
        <w:ind w:left="867" w:hanging="357"/>
        <w:rPr>
          <w:rFonts w:ascii="Book Antiqua" w:hAnsi="Book Antiqua"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>Zadání zjištěného incidentu do helpdesku Objednatele</w:t>
      </w:r>
    </w:p>
    <w:p w:rsidR="009B57E5" w:rsidRPr="00E21A01" w:rsidRDefault="009B57E5" w:rsidP="009B57E5">
      <w:pPr>
        <w:widowControl/>
        <w:numPr>
          <w:ilvl w:val="0"/>
          <w:numId w:val="4"/>
        </w:numPr>
        <w:autoSpaceDE/>
        <w:autoSpaceDN/>
        <w:spacing w:after="120"/>
        <w:ind w:left="867" w:hanging="357"/>
        <w:rPr>
          <w:rFonts w:ascii="Book Antiqua" w:hAnsi="Book Antiqua"/>
          <w:b/>
          <w:sz w:val="20"/>
          <w:szCs w:val="20"/>
        </w:rPr>
      </w:pPr>
      <w:r w:rsidRPr="00E21A01">
        <w:rPr>
          <w:rFonts w:ascii="Book Antiqua" w:hAnsi="Book Antiqua"/>
          <w:sz w:val="20"/>
          <w:szCs w:val="20"/>
        </w:rPr>
        <w:t xml:space="preserve">Vzdálená diagnostika </w:t>
      </w:r>
      <w:r>
        <w:rPr>
          <w:rFonts w:ascii="Book Antiqua" w:hAnsi="Book Antiqua"/>
          <w:sz w:val="20"/>
          <w:szCs w:val="20"/>
        </w:rPr>
        <w:t>platebního terminálu</w:t>
      </w:r>
      <w:r w:rsidRPr="00E21A01">
        <w:rPr>
          <w:rFonts w:ascii="Book Antiqua" w:hAnsi="Book Antiqua"/>
          <w:sz w:val="20"/>
          <w:szCs w:val="20"/>
        </w:rPr>
        <w:t xml:space="preserve"> pracovníkem technické podpory a poskytnutí návrhu vhodného řešení incidentu</w:t>
      </w:r>
    </w:p>
    <w:p w:rsidR="00805997" w:rsidRPr="009B57E5" w:rsidRDefault="00805997" w:rsidP="009B57E5"/>
    <w:sectPr w:rsidR="00805997" w:rsidRPr="009B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BA" w:rsidRDefault="00465DBA" w:rsidP="00465DBA">
      <w:r>
        <w:separator/>
      </w:r>
    </w:p>
  </w:endnote>
  <w:endnote w:type="continuationSeparator" w:id="0">
    <w:p w:rsidR="00465DBA" w:rsidRDefault="00465DBA" w:rsidP="0046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BA" w:rsidRDefault="00465DBA" w:rsidP="00465DBA">
      <w:r>
        <w:separator/>
      </w:r>
    </w:p>
  </w:footnote>
  <w:footnote w:type="continuationSeparator" w:id="0">
    <w:p w:rsidR="00465DBA" w:rsidRDefault="00465DBA" w:rsidP="00465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74"/>
    <w:multiLevelType w:val="hybridMultilevel"/>
    <w:tmpl w:val="0AE2C0D8"/>
    <w:lvl w:ilvl="0" w:tplc="B024E144">
      <w:start w:val="1"/>
      <w:numFmt w:val="decimal"/>
      <w:lvlText w:val="%1."/>
      <w:lvlJc w:val="left"/>
      <w:pPr>
        <w:ind w:left="869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ACC0BE06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86FAB790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C54923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6E04227A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248C8AEE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2DF2EF9C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FAF41B78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30C674B4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1" w15:restartNumberingAfterBreak="0">
    <w:nsid w:val="201C1836"/>
    <w:multiLevelType w:val="hybridMultilevel"/>
    <w:tmpl w:val="F78093E2"/>
    <w:lvl w:ilvl="0" w:tplc="CF2A01DA">
      <w:start w:val="1"/>
      <w:numFmt w:val="decimal"/>
      <w:lvlText w:val="%1."/>
      <w:lvlJc w:val="left"/>
      <w:pPr>
        <w:ind w:left="869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45D092FA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EECCB5D2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5AE63F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2F3A3BD4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9D00B832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D78A54EE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AEFC98D2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52FCE5DC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2" w15:restartNumberingAfterBreak="0">
    <w:nsid w:val="5FC60A89"/>
    <w:multiLevelType w:val="hybridMultilevel"/>
    <w:tmpl w:val="B2CE0314"/>
    <w:lvl w:ilvl="0" w:tplc="6DCA394C">
      <w:start w:val="1"/>
      <w:numFmt w:val="decimal"/>
      <w:lvlText w:val="%1."/>
      <w:lvlJc w:val="left"/>
      <w:pPr>
        <w:ind w:left="869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69B23A72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A166569C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2D5C78D6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457E613A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579436A8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18D03640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7CD6AE2E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B4C8D084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3" w15:restartNumberingAfterBreak="0">
    <w:nsid w:val="7F2F7E35"/>
    <w:multiLevelType w:val="hybridMultilevel"/>
    <w:tmpl w:val="287C80E2"/>
    <w:lvl w:ilvl="0" w:tplc="D04A65E2">
      <w:start w:val="1"/>
      <w:numFmt w:val="decimal"/>
      <w:lvlText w:val="%1."/>
      <w:lvlJc w:val="left"/>
      <w:pPr>
        <w:ind w:left="869" w:hanging="360"/>
      </w:pPr>
      <w:rPr>
        <w:rFonts w:ascii="Book Antiqua" w:eastAsia="Arial" w:hAnsi="Book Antiqua" w:cs="Arial" w:hint="default"/>
        <w:b w:val="0"/>
        <w:spacing w:val="-1"/>
        <w:w w:val="99"/>
        <w:sz w:val="20"/>
        <w:szCs w:val="20"/>
        <w:lang w:val="cs-CZ" w:eastAsia="cs-CZ" w:bidi="cs-CZ"/>
      </w:rPr>
    </w:lvl>
    <w:lvl w:ilvl="1" w:tplc="45D092FA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EECCB5D2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5AE63F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2F3A3BD4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9D00B832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D78A54EE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AEFC98D2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52FCE5DC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D76"/>
    <w:rsid w:val="00080D76"/>
    <w:rsid w:val="00093AFC"/>
    <w:rsid w:val="0029193B"/>
    <w:rsid w:val="002A123F"/>
    <w:rsid w:val="002F624D"/>
    <w:rsid w:val="00465DBA"/>
    <w:rsid w:val="007D44EB"/>
    <w:rsid w:val="0080048F"/>
    <w:rsid w:val="00805997"/>
    <w:rsid w:val="00861E93"/>
    <w:rsid w:val="009272AB"/>
    <w:rsid w:val="009B57E5"/>
    <w:rsid w:val="00B55355"/>
    <w:rsid w:val="00BD5AAE"/>
    <w:rsid w:val="00E5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08904"/>
  <w15:chartTrackingRefBased/>
  <w15:docId w15:val="{63B2EDF6-E562-44A9-A009-58D2AF7F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9B57E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B57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059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9B57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B57E5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9B57E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zbynek hajek</dc:creator>
  <cp:keywords/>
  <dc:description/>
  <cp:lastModifiedBy>Lucie Kolářová</cp:lastModifiedBy>
  <cp:revision>13</cp:revision>
  <dcterms:created xsi:type="dcterms:W3CDTF">2018-04-03T07:03:00Z</dcterms:created>
  <dcterms:modified xsi:type="dcterms:W3CDTF">2018-05-10T08:26:00Z</dcterms:modified>
</cp:coreProperties>
</file>