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74326D">
        <w:rPr>
          <w:rFonts w:ascii="Times New Roman" w:hAnsi="Times New Roman"/>
        </w:rPr>
        <w:t>Ing. Lubomír Moráň</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roofErr w:type="gramStart"/>
      <w:r>
        <w:rPr>
          <w:rFonts w:ascii="Times New Roman" w:hAnsi="Times New Roman"/>
        </w:rPr>
        <w:t>…..</w:t>
      </w:r>
      <w:proofErr w:type="gramEnd"/>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proofErr w:type="gramStart"/>
      <w:r w:rsidR="00DC5B8E">
        <w:rPr>
          <w:rFonts w:ascii="Times New Roman" w:hAnsi="Times New Roman"/>
        </w:rPr>
        <w:t>…..</w:t>
      </w:r>
      <w:proofErr w:type="gramEnd"/>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roofErr w:type="gramStart"/>
      <w:r w:rsidR="00DC5B8E" w:rsidRPr="00DC5B8E">
        <w:rPr>
          <w:rFonts w:ascii="Times New Roman" w:hAnsi="Times New Roman"/>
        </w:rPr>
        <w:t>…..</w:t>
      </w:r>
      <w:proofErr w:type="gramEnd"/>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74326D" w:rsidRPr="0074326D">
        <w:rPr>
          <w:rFonts w:ascii="Times New Roman" w:hAnsi="Times New Roman"/>
          <w:b/>
        </w:rPr>
        <w:t>NB – Rekonstrukce ohřevu TUV</w:t>
      </w:r>
      <w:r w:rsidR="00455E82" w:rsidRPr="00D46FBB">
        <w:rPr>
          <w:rFonts w:ascii="Times New Roman" w:hAnsi="Times New Roman"/>
          <w:b/>
        </w:rPr>
        <w:t>“</w:t>
      </w:r>
      <w:r w:rsidR="00E831C8" w:rsidRPr="00D46FBB">
        <w:rPr>
          <w:rFonts w:ascii="Times New Roman" w:hAnsi="Times New Roman"/>
          <w:b/>
        </w:rPr>
        <w:t xml:space="preserve"> </w:t>
      </w:r>
    </w:p>
    <w:p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816FF3" w:rsidRDefault="00816FF3" w:rsidP="004E45E1">
      <w:pPr>
        <w:rPr>
          <w:sz w:val="24"/>
          <w:szCs w:val="24"/>
        </w:rPr>
      </w:pPr>
    </w:p>
    <w:p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rsidR="006B5D24" w:rsidRDefault="006B5D24" w:rsidP="00466958">
      <w:pPr>
        <w:tabs>
          <w:tab w:val="left" w:pos="709"/>
        </w:tabs>
        <w:rPr>
          <w:sz w:val="24"/>
        </w:rPr>
      </w:pPr>
      <w:r>
        <w:rPr>
          <w:sz w:val="24"/>
        </w:rPr>
        <w:t xml:space="preserve">- </w:t>
      </w:r>
      <w:r w:rsidR="009F7697">
        <w:rPr>
          <w:sz w:val="24"/>
        </w:rPr>
        <w:t>t</w:t>
      </w:r>
      <w:r>
        <w:rPr>
          <w:sz w:val="24"/>
        </w:rPr>
        <w:t>ato smlouva</w:t>
      </w:r>
    </w:p>
    <w:p w:rsidR="00BA49C4" w:rsidRDefault="009F7697" w:rsidP="00F92CC1">
      <w:pPr>
        <w:ind w:left="142" w:hanging="142"/>
        <w:jc w:val="both"/>
        <w:rPr>
          <w:sz w:val="24"/>
        </w:rPr>
      </w:pPr>
      <w:r w:rsidRPr="00A8348B">
        <w:rPr>
          <w:sz w:val="24"/>
        </w:rPr>
        <w:t xml:space="preserve">- </w:t>
      </w:r>
      <w:r w:rsidR="00BA49C4">
        <w:rPr>
          <w:sz w:val="24"/>
        </w:rPr>
        <w:t>zhotovitelem oceněný výkaz výměr v členění po</w:t>
      </w:r>
      <w:r w:rsidR="00AB1BEA">
        <w:rPr>
          <w:sz w:val="24"/>
        </w:rPr>
        <w:t xml:space="preserve">ložkového rozpočtu </w:t>
      </w:r>
    </w:p>
    <w:p w:rsidR="006E1D7F" w:rsidRDefault="00383F08" w:rsidP="00DC497F">
      <w:pPr>
        <w:pStyle w:val="Zkladntextodsazen"/>
        <w:ind w:left="851" w:hanging="851"/>
        <w:rPr>
          <w:rFonts w:ascii="Times New Roman" w:hAnsi="Times New Roman"/>
        </w:rPr>
      </w:pPr>
      <w:r>
        <w:rPr>
          <w:rFonts w:ascii="Times New Roman" w:hAnsi="Times New Roman"/>
        </w:rPr>
        <w:t>- zadávací dokumentace k </w:t>
      </w:r>
      <w:r w:rsidRPr="009C7D07">
        <w:rPr>
          <w:rFonts w:ascii="Times New Roman" w:hAnsi="Times New Roman"/>
        </w:rPr>
        <w:t>zakázce „</w:t>
      </w:r>
      <w:r w:rsidR="0074326D" w:rsidRPr="0074326D">
        <w:rPr>
          <w:rFonts w:ascii="Times New Roman" w:hAnsi="Times New Roman"/>
          <w:b/>
        </w:rPr>
        <w:t>NB – Rekonstrukce ohřevu TUV</w:t>
      </w:r>
      <w:r w:rsidRPr="009C7D07">
        <w:rPr>
          <w:rFonts w:ascii="Times New Roman" w:hAnsi="Times New Roman"/>
        </w:rPr>
        <w:t>“</w:t>
      </w:r>
    </w:p>
    <w:p w:rsidR="00F236C1" w:rsidRDefault="00F236C1" w:rsidP="00D422F5">
      <w:pPr>
        <w:keepNext/>
        <w:keepLines/>
        <w:jc w:val="center"/>
        <w:rPr>
          <w:b/>
          <w:sz w:val="24"/>
        </w:rPr>
      </w:pPr>
      <w:r>
        <w:rPr>
          <w:b/>
          <w:sz w:val="24"/>
        </w:rPr>
        <w:lastRenderedPageBreak/>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proofErr w:type="gramStart"/>
      <w:r>
        <w:rPr>
          <w:b/>
          <w:sz w:val="24"/>
        </w:rPr>
        <w:t>…..</w:t>
      </w:r>
      <w:proofErr w:type="gramEnd"/>
      <w:r w:rsidRPr="00173AF6">
        <w:rPr>
          <w:b/>
          <w:sz w:val="24"/>
        </w:rPr>
        <w:t xml:space="preserve"> Kč</w:t>
      </w:r>
    </w:p>
    <w:p w:rsidR="005170F8" w:rsidRDefault="005170F8" w:rsidP="005170F8">
      <w:pPr>
        <w:tabs>
          <w:tab w:val="right" w:pos="5245"/>
        </w:tabs>
        <w:rPr>
          <w:b/>
          <w:sz w:val="24"/>
        </w:rPr>
      </w:pPr>
    </w:p>
    <w:p w:rsidR="005170F8" w:rsidRPr="00173AF6" w:rsidRDefault="005170F8" w:rsidP="005170F8">
      <w:pPr>
        <w:tabs>
          <w:tab w:val="right" w:pos="5245"/>
        </w:tabs>
        <w:rPr>
          <w:b/>
          <w:sz w:val="24"/>
        </w:rPr>
      </w:pPr>
    </w:p>
    <w:p w:rsidR="005170F8" w:rsidRDefault="005170F8" w:rsidP="005170F8">
      <w:pPr>
        <w:jc w:val="both"/>
        <w:rPr>
          <w:sz w:val="24"/>
        </w:rPr>
      </w:pPr>
      <w:r>
        <w:rPr>
          <w:sz w:val="24"/>
        </w:rPr>
        <w:t xml:space="preserve">2.2. Dohodnutá cena díla je stanovena jako nejvýše přípustná, obsahuje veškeré náklady zhotovitele související s realizací díla a je možno ji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5170F8" w:rsidRDefault="005170F8" w:rsidP="005170F8">
      <w:pPr>
        <w:jc w:val="both"/>
        <w:rPr>
          <w:sz w:val="24"/>
        </w:rPr>
      </w:pPr>
      <w:r>
        <w:rPr>
          <w:sz w:val="24"/>
        </w:rPr>
        <w:t>2.3. Smluvní strany se dohodly, že veškeré případné změny v rozsahu díla budou po odsouhlasení objednatelem řešeny formou dodatku k této smlouvě, ve kterém bude rovněž řešena úpr</w:t>
      </w:r>
      <w:r w:rsidR="005E630B">
        <w:rPr>
          <w:sz w:val="24"/>
        </w:rPr>
        <w:t>a</w:t>
      </w:r>
      <w:r>
        <w:rPr>
          <w:sz w:val="24"/>
        </w:rPr>
        <w:t xml:space="preserve">va dohodnuté ceny. Zhotovitel není bez souhlasu objednatele </w:t>
      </w:r>
      <w:r w:rsidR="003C0125">
        <w:rPr>
          <w:sz w:val="24"/>
        </w:rPr>
        <w:t xml:space="preserve">oprávněn </w:t>
      </w:r>
      <w:r>
        <w:rPr>
          <w:sz w:val="24"/>
        </w:rPr>
        <w:t>rozsah díla jakkoliv měnit.</w:t>
      </w:r>
    </w:p>
    <w:p w:rsidR="005170F8" w:rsidRDefault="005170F8" w:rsidP="005170F8">
      <w:pPr>
        <w:jc w:val="both"/>
        <w:rPr>
          <w:sz w:val="24"/>
        </w:rPr>
      </w:pPr>
      <w:r>
        <w:rPr>
          <w:sz w:val="24"/>
        </w:rPr>
        <w:t>V případě, že nebude dodržen uvedený postup, má se za to, že práce byly součástí předmětu díla a jsou zahrnuty v ceně díla dle této smlouvy.</w:t>
      </w:r>
    </w:p>
    <w:p w:rsidR="00F236C1" w:rsidRDefault="00F236C1"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3.1 </w:t>
      </w:r>
      <w:r w:rsidRPr="00957C25">
        <w:rPr>
          <w:sz w:val="24"/>
          <w:szCs w:val="24"/>
        </w:rPr>
        <w:t xml:space="preserve">Objednatel se zavazuje, že uhradí smluvní cenu díla dle sjednaných platebních podmínek.  </w:t>
      </w:r>
    </w:p>
    <w:p w:rsidR="005F0ABF" w:rsidRPr="009C7D07" w:rsidRDefault="00E771AA" w:rsidP="005F0ABF">
      <w:pPr>
        <w:tabs>
          <w:tab w:val="left" w:pos="426"/>
        </w:tabs>
        <w:suppressAutoHyphens/>
        <w:autoSpaceDE w:val="0"/>
        <w:spacing w:after="120"/>
        <w:jc w:val="both"/>
        <w:rPr>
          <w:sz w:val="24"/>
          <w:szCs w:val="24"/>
        </w:rPr>
      </w:pPr>
      <w:r w:rsidRPr="009C7D07">
        <w:rPr>
          <w:sz w:val="24"/>
          <w:szCs w:val="24"/>
        </w:rPr>
        <w:t>3.2. Zhotovitel je oprávněn</w:t>
      </w:r>
      <w:r w:rsidR="005F0ABF" w:rsidRPr="009C7D07">
        <w:rPr>
          <w:sz w:val="24"/>
          <w:szCs w:val="24"/>
        </w:rPr>
        <w:t xml:space="preserve"> </w:t>
      </w:r>
      <w:r w:rsidRPr="009C7D07">
        <w:rPr>
          <w:sz w:val="24"/>
          <w:szCs w:val="24"/>
        </w:rPr>
        <w:t>vystavit dílčí fakturu</w:t>
      </w:r>
      <w:r w:rsidR="005F0ABF" w:rsidRPr="009C7D07">
        <w:rPr>
          <w:sz w:val="24"/>
          <w:szCs w:val="24"/>
        </w:rPr>
        <w:t xml:space="preserve"> do výše </w:t>
      </w:r>
      <w:r w:rsidR="0045463C" w:rsidRPr="009C7D07">
        <w:rPr>
          <w:sz w:val="24"/>
          <w:szCs w:val="24"/>
        </w:rPr>
        <w:t>9</w:t>
      </w:r>
      <w:r w:rsidR="005F0ABF" w:rsidRPr="009C7D07">
        <w:rPr>
          <w:sz w:val="24"/>
          <w:szCs w:val="24"/>
        </w:rPr>
        <w:t>0</w:t>
      </w:r>
      <w:r w:rsidR="005E630B" w:rsidRPr="009C7D07">
        <w:rPr>
          <w:sz w:val="24"/>
          <w:szCs w:val="24"/>
        </w:rPr>
        <w:t xml:space="preserve"> </w:t>
      </w:r>
      <w:r w:rsidR="005F0ABF" w:rsidRPr="009C7D07">
        <w:rPr>
          <w:sz w:val="24"/>
          <w:szCs w:val="24"/>
        </w:rPr>
        <w:t>% z celkové ceny díla vč. DPH, jejíž</w:t>
      </w:r>
      <w:r w:rsidR="00B44952" w:rsidRPr="009C7D07">
        <w:rPr>
          <w:sz w:val="24"/>
          <w:szCs w:val="24"/>
        </w:rPr>
        <w:t xml:space="preserve"> součástí</w:t>
      </w:r>
      <w:r w:rsidR="005F0ABF" w:rsidRPr="009C7D07">
        <w:rPr>
          <w:sz w:val="24"/>
          <w:szCs w:val="24"/>
        </w:rPr>
        <w:t xml:space="preserve"> bu</w:t>
      </w:r>
      <w:r w:rsidR="00CE2564" w:rsidRPr="009C7D07">
        <w:rPr>
          <w:sz w:val="24"/>
          <w:szCs w:val="24"/>
        </w:rPr>
        <w:t>de vzájemně odsouhlasený soupis provedených</w:t>
      </w:r>
      <w:r w:rsidR="005F0ABF" w:rsidRPr="009C7D07">
        <w:rPr>
          <w:sz w:val="24"/>
          <w:szCs w:val="24"/>
        </w:rPr>
        <w:t xml:space="preserve"> dodávek a prací. </w:t>
      </w:r>
    </w:p>
    <w:p w:rsidR="00A0735B" w:rsidRPr="009C7D07" w:rsidRDefault="00E771AA" w:rsidP="00E771AA">
      <w:pPr>
        <w:tabs>
          <w:tab w:val="left" w:pos="426"/>
        </w:tabs>
        <w:suppressAutoHyphens/>
        <w:autoSpaceDE w:val="0"/>
        <w:spacing w:after="120"/>
        <w:jc w:val="both"/>
        <w:rPr>
          <w:sz w:val="24"/>
          <w:szCs w:val="24"/>
        </w:rPr>
      </w:pPr>
      <w:r w:rsidRPr="009C7D07">
        <w:rPr>
          <w:sz w:val="24"/>
          <w:szCs w:val="24"/>
        </w:rPr>
        <w:t>3.3. Zhotovitel vystaví závěrečnou fakturu (daňový doklad) do 7 dnů od</w:t>
      </w:r>
      <w:r w:rsidR="005F0ABF" w:rsidRPr="009C7D07">
        <w:rPr>
          <w:sz w:val="24"/>
          <w:szCs w:val="24"/>
        </w:rPr>
        <w:t xml:space="preserve"> </w:t>
      </w:r>
      <w:r w:rsidRPr="009C7D07">
        <w:rPr>
          <w:sz w:val="24"/>
          <w:szCs w:val="24"/>
        </w:rPr>
        <w:t xml:space="preserve">protokolárního předání dokončeného díla. </w:t>
      </w:r>
    </w:p>
    <w:p w:rsidR="00E771AA" w:rsidRPr="00957C25" w:rsidRDefault="00E771AA" w:rsidP="00E771AA">
      <w:pPr>
        <w:tabs>
          <w:tab w:val="left" w:pos="426"/>
        </w:tabs>
        <w:suppressAutoHyphens/>
        <w:autoSpaceDE w:val="0"/>
        <w:spacing w:after="120"/>
        <w:jc w:val="both"/>
        <w:rPr>
          <w:sz w:val="24"/>
          <w:szCs w:val="24"/>
        </w:rPr>
      </w:pPr>
      <w:r w:rsidRPr="009C7D07">
        <w:rPr>
          <w:sz w:val="24"/>
          <w:szCs w:val="24"/>
        </w:rPr>
        <w:t>3.4. Splatnost závěrečné faktury (daňového dokladu) a dílčí faktur</w:t>
      </w:r>
      <w:r w:rsidR="00A0735B" w:rsidRPr="009C7D07">
        <w:rPr>
          <w:sz w:val="24"/>
          <w:szCs w:val="24"/>
        </w:rPr>
        <w:t>y</w:t>
      </w:r>
      <w:r w:rsidRPr="009C7D07">
        <w:rPr>
          <w:sz w:val="24"/>
          <w:szCs w:val="24"/>
        </w:rPr>
        <w:t xml:space="preserve"> činí </w:t>
      </w:r>
      <w:r w:rsidRPr="009C7D07">
        <w:rPr>
          <w:bCs/>
          <w:sz w:val="24"/>
          <w:szCs w:val="24"/>
        </w:rPr>
        <w:t>14</w:t>
      </w:r>
      <w:r w:rsidRPr="009C7D07">
        <w:rPr>
          <w:sz w:val="24"/>
          <w:szCs w:val="24"/>
        </w:rPr>
        <w:t xml:space="preserve"> kalendářních dnů ode dne doručení dokladu </w:t>
      </w:r>
      <w:r w:rsidR="00A0735B" w:rsidRPr="009C7D07">
        <w:rPr>
          <w:sz w:val="24"/>
          <w:szCs w:val="24"/>
        </w:rPr>
        <w:t>objednateli</w:t>
      </w:r>
      <w:r w:rsidRPr="009C7D07">
        <w:rPr>
          <w:sz w:val="24"/>
          <w:szCs w:val="24"/>
        </w:rPr>
        <w:t>.</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3.5. </w:t>
      </w:r>
      <w:r w:rsidRPr="00957C25">
        <w:rPr>
          <w:sz w:val="24"/>
          <w:szCs w:val="24"/>
        </w:rPr>
        <w:t xml:space="preserve">V případě výskytu </w:t>
      </w:r>
      <w:r w:rsidRPr="001446F6">
        <w:rPr>
          <w:sz w:val="24"/>
          <w:szCs w:val="24"/>
        </w:rPr>
        <w:t xml:space="preserve">víceprací dle čl. II. bod </w:t>
      </w:r>
      <w:proofErr w:type="gramStart"/>
      <w:r w:rsidRPr="001446F6">
        <w:rPr>
          <w:sz w:val="24"/>
          <w:szCs w:val="24"/>
        </w:rPr>
        <w:t>2.3. této</w:t>
      </w:r>
      <w:proofErr w:type="gramEnd"/>
      <w:r w:rsidRPr="001446F6">
        <w:rPr>
          <w:sz w:val="24"/>
          <w:szCs w:val="24"/>
        </w:rPr>
        <w:t xml:space="preserve">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r w:rsidRPr="00957C25">
        <w:rPr>
          <w:sz w:val="24"/>
          <w:szCs w:val="24"/>
        </w:rPr>
        <w:tab/>
      </w:r>
    </w:p>
    <w:p w:rsidR="00E771AA" w:rsidRDefault="00E771AA" w:rsidP="00E771AA">
      <w:pPr>
        <w:tabs>
          <w:tab w:val="left" w:pos="426"/>
        </w:tabs>
        <w:suppressAutoHyphens/>
        <w:autoSpaceDE w:val="0"/>
        <w:spacing w:after="120"/>
        <w:jc w:val="both"/>
        <w:rPr>
          <w:sz w:val="24"/>
          <w:szCs w:val="24"/>
        </w:rPr>
      </w:pPr>
      <w:r>
        <w:rPr>
          <w:sz w:val="24"/>
          <w:szCs w:val="24"/>
        </w:rPr>
        <w:t xml:space="preserve">3.6. </w:t>
      </w:r>
      <w:r w:rsidRPr="00957C25">
        <w:rPr>
          <w:sz w:val="24"/>
          <w:szCs w:val="24"/>
        </w:rPr>
        <w:t>Pro posouzení včasnost</w:t>
      </w:r>
      <w:r w:rsidR="005E630B">
        <w:rPr>
          <w:sz w:val="24"/>
          <w:szCs w:val="24"/>
        </w:rPr>
        <w:t>í</w:t>
      </w:r>
      <w:r w:rsidRPr="00957C25">
        <w:rPr>
          <w:sz w:val="24"/>
          <w:szCs w:val="24"/>
        </w:rPr>
        <w:t xml:space="preserve"> splnění závazku úhrady ceny díla je rozhodující den připsání fakturované peněžní částky na účet zhotovitele. </w:t>
      </w:r>
    </w:p>
    <w:p w:rsidR="005E630B" w:rsidRDefault="005E630B">
      <w:pPr>
        <w:rPr>
          <w:sz w:val="24"/>
          <w:szCs w:val="24"/>
        </w:rPr>
      </w:pPr>
      <w:r>
        <w:rPr>
          <w:sz w:val="24"/>
          <w:szCs w:val="24"/>
        </w:rPr>
        <w:br w:type="page"/>
      </w:r>
    </w:p>
    <w:p w:rsidR="006B5D24" w:rsidRPr="004C489F" w:rsidRDefault="004C489F">
      <w:pPr>
        <w:jc w:val="center"/>
        <w:rPr>
          <w:b/>
          <w:sz w:val="24"/>
        </w:rPr>
      </w:pPr>
      <w:r w:rsidRPr="004C489F">
        <w:rPr>
          <w:b/>
          <w:sz w:val="24"/>
        </w:rPr>
        <w:lastRenderedPageBreak/>
        <w:t>IV.</w:t>
      </w:r>
    </w:p>
    <w:p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466958" w:rsidRPr="009C7D07" w:rsidRDefault="001A759A"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9C7D07">
        <w:rPr>
          <w:sz w:val="24"/>
        </w:rPr>
        <w:t>Termín z</w:t>
      </w:r>
      <w:r w:rsidR="00A0735B" w:rsidRPr="009C7D07">
        <w:rPr>
          <w:sz w:val="24"/>
        </w:rPr>
        <w:t>ahájení stavby – př</w:t>
      </w:r>
      <w:r w:rsidR="00466958" w:rsidRPr="009C7D07">
        <w:rPr>
          <w:sz w:val="24"/>
        </w:rPr>
        <w:t>edání staveniště:</w:t>
      </w:r>
      <w:r w:rsidR="00466958" w:rsidRPr="009C7D07">
        <w:rPr>
          <w:sz w:val="24"/>
        </w:rPr>
        <w:tab/>
      </w:r>
      <w:r w:rsidR="00466958" w:rsidRPr="009C7D07">
        <w:rPr>
          <w:sz w:val="24"/>
        </w:rPr>
        <w:tab/>
      </w:r>
      <w:proofErr w:type="gramStart"/>
      <w:r w:rsidR="0074326D">
        <w:rPr>
          <w:sz w:val="24"/>
        </w:rPr>
        <w:t>1.10.2017</w:t>
      </w:r>
      <w:proofErr w:type="gramEnd"/>
    </w:p>
    <w:p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9C7D07">
        <w:rPr>
          <w:sz w:val="24"/>
        </w:rPr>
        <w:t xml:space="preserve">Termín dokončení </w:t>
      </w:r>
      <w:r w:rsidR="00466958" w:rsidRPr="009C7D07">
        <w:rPr>
          <w:sz w:val="24"/>
        </w:rPr>
        <w:t>předmětu plnění</w:t>
      </w:r>
      <w:r w:rsidRPr="009C7D07">
        <w:rPr>
          <w:sz w:val="24"/>
        </w:rPr>
        <w:t>:</w:t>
      </w:r>
      <w:r w:rsidRPr="009C7D07">
        <w:rPr>
          <w:sz w:val="24"/>
        </w:rPr>
        <w:tab/>
        <w:t xml:space="preserve">            </w:t>
      </w:r>
      <w:r w:rsidR="00466958" w:rsidRPr="009C7D07">
        <w:rPr>
          <w:sz w:val="24"/>
        </w:rPr>
        <w:tab/>
        <w:t xml:space="preserve">do </w:t>
      </w:r>
      <w:r w:rsidR="0074326D">
        <w:rPr>
          <w:sz w:val="24"/>
        </w:rPr>
        <w:t>15</w:t>
      </w:r>
      <w:r w:rsidRPr="009C7D07">
        <w:rPr>
          <w:sz w:val="24"/>
        </w:rPr>
        <w:t xml:space="preserve">. </w:t>
      </w:r>
      <w:r w:rsidR="009C7D07" w:rsidRPr="009C7D07">
        <w:rPr>
          <w:sz w:val="24"/>
        </w:rPr>
        <w:t>11</w:t>
      </w:r>
      <w:r w:rsidRPr="009C7D07">
        <w:rPr>
          <w:sz w:val="24"/>
        </w:rPr>
        <w:t>. 201</w:t>
      </w:r>
      <w:r w:rsidR="00302C16" w:rsidRPr="009C7D07">
        <w:rPr>
          <w:sz w:val="24"/>
        </w:rPr>
        <w:t>7</w:t>
      </w:r>
    </w:p>
    <w:p w:rsidR="00A0735B" w:rsidRDefault="00A0735B" w:rsidP="00205DEC">
      <w:pPr>
        <w:jc w:val="both"/>
        <w:rPr>
          <w:sz w:val="24"/>
        </w:rPr>
      </w:pPr>
    </w:p>
    <w:p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330C1C">
      <w:pPr>
        <w:spacing w:line="240" w:lineRule="exact"/>
        <w:jc w:val="both"/>
        <w:rPr>
          <w:sz w:val="24"/>
        </w:rPr>
      </w:pPr>
    </w:p>
    <w:p w:rsidR="006B5D24" w:rsidRDefault="00205DEC" w:rsidP="00330C1C">
      <w:pPr>
        <w:jc w:val="both"/>
        <w:rPr>
          <w:sz w:val="24"/>
        </w:rPr>
      </w:pPr>
      <w:r>
        <w:rPr>
          <w:sz w:val="24"/>
        </w:rPr>
        <w:t>4.3.</w:t>
      </w:r>
      <w:r w:rsidR="00942267">
        <w:rPr>
          <w:sz w:val="24"/>
        </w:rPr>
        <w:t xml:space="preserve"> </w:t>
      </w:r>
      <w:r w:rsidR="004C489F">
        <w:rPr>
          <w:sz w:val="24"/>
        </w:rPr>
        <w:t>Dodržení doby splnění díla ze strany zhotovitele je závislé od řádného a včasného spolupůsobení objednatele. Po dobu prokázaného prodlení objednatele s </w:t>
      </w:r>
      <w:proofErr w:type="gramStart"/>
      <w:r w:rsidR="004C489F">
        <w:rPr>
          <w:sz w:val="24"/>
        </w:rPr>
        <w:t xml:space="preserve">poskytnutím </w:t>
      </w:r>
      <w:r w:rsidR="00330C1C">
        <w:rPr>
          <w:sz w:val="24"/>
        </w:rPr>
        <w:t xml:space="preserve"> </w:t>
      </w:r>
      <w:r w:rsidR="004C489F">
        <w:rPr>
          <w:sz w:val="24"/>
        </w:rPr>
        <w:t>spolupůsobení</w:t>
      </w:r>
      <w:proofErr w:type="gramEnd"/>
      <w:r w:rsidR="004C489F">
        <w:rPr>
          <w:sz w:val="24"/>
        </w:rPr>
        <w:t xml:space="preserve"> není zhotovitel v prodlení se splněním závazku.</w:t>
      </w:r>
    </w:p>
    <w:p w:rsidR="004C489F" w:rsidRDefault="004C489F" w:rsidP="00330C1C">
      <w:pPr>
        <w:jc w:val="both"/>
        <w:rPr>
          <w:sz w:val="24"/>
        </w:rPr>
      </w:pPr>
    </w:p>
    <w:p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pPr>
        <w:jc w:val="center"/>
        <w:rPr>
          <w:sz w:val="24"/>
        </w:rPr>
      </w:pPr>
    </w:p>
    <w:p w:rsidR="00E879DF" w:rsidRDefault="004C489F">
      <w:pPr>
        <w:jc w:val="center"/>
        <w:rPr>
          <w:b/>
          <w:sz w:val="24"/>
        </w:rPr>
      </w:pPr>
      <w:r>
        <w:rPr>
          <w:b/>
          <w:sz w:val="24"/>
        </w:rPr>
        <w:t>V</w:t>
      </w:r>
      <w:r w:rsidR="00EE43DC">
        <w:rPr>
          <w:b/>
          <w:sz w:val="24"/>
        </w:rPr>
        <w:t>I</w:t>
      </w:r>
      <w:r>
        <w:rPr>
          <w:b/>
          <w:sz w:val="24"/>
        </w:rPr>
        <w:t>.</w:t>
      </w:r>
    </w:p>
    <w:p w:rsidR="006B5D24" w:rsidRDefault="006B5D24" w:rsidP="00B103B9">
      <w:pPr>
        <w:spacing w:before="60"/>
        <w:jc w:val="center"/>
        <w:rPr>
          <w:b/>
          <w:sz w:val="24"/>
        </w:rPr>
      </w:pPr>
      <w:r>
        <w:rPr>
          <w:b/>
          <w:sz w:val="24"/>
        </w:rPr>
        <w:t>Záruční doba</w:t>
      </w:r>
      <w:r w:rsidR="004C489F">
        <w:rPr>
          <w:b/>
          <w:sz w:val="24"/>
        </w:rPr>
        <w:t xml:space="preserve"> – odpovědnost za vady</w:t>
      </w:r>
    </w:p>
    <w:p w:rsidR="004C489F" w:rsidRDefault="004C489F">
      <w:pPr>
        <w:jc w:val="center"/>
        <w:rPr>
          <w:b/>
          <w:sz w:val="24"/>
        </w:rPr>
      </w:pPr>
    </w:p>
    <w:p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067295" w:rsidRDefault="00EE43DC" w:rsidP="00067295">
      <w:pPr>
        <w:rPr>
          <w:sz w:val="24"/>
        </w:rPr>
      </w:pPr>
      <w:r>
        <w:rPr>
          <w:sz w:val="24"/>
        </w:rPr>
        <w:lastRenderedPageBreak/>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rsidR="00067295" w:rsidRDefault="00067295">
      <w:pPr>
        <w:jc w:val="center"/>
        <w:rPr>
          <w:sz w:val="24"/>
        </w:rPr>
      </w:pPr>
    </w:p>
    <w:p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zhotovené dílo </w:t>
      </w:r>
      <w:r w:rsidR="009D6B86">
        <w:rPr>
          <w:sz w:val="24"/>
          <w:szCs w:val="24"/>
        </w:rPr>
        <w:t xml:space="preserve">záruku </w:t>
      </w:r>
      <w:r w:rsidR="00067295">
        <w:rPr>
          <w:sz w:val="24"/>
        </w:rPr>
        <w:t xml:space="preserve">v délce </w:t>
      </w:r>
      <w:r w:rsidR="00330C1C">
        <w:rPr>
          <w:sz w:val="24"/>
        </w:rPr>
        <w:t>36</w:t>
      </w:r>
      <w:r w:rsidR="00AC435B">
        <w:rPr>
          <w:sz w:val="24"/>
        </w:rPr>
        <w:t xml:space="preserve"> </w:t>
      </w:r>
      <w:r w:rsidR="00E879DF" w:rsidRPr="00286223">
        <w:rPr>
          <w:sz w:val="24"/>
        </w:rPr>
        <w:t>měsíců</w:t>
      </w:r>
      <w:r w:rsidR="00AC435B">
        <w:rPr>
          <w:sz w:val="24"/>
        </w:rPr>
        <w:t>.</w:t>
      </w:r>
    </w:p>
    <w:p w:rsidR="00AC435B" w:rsidRDefault="00AC435B">
      <w:pPr>
        <w:jc w:val="both"/>
        <w:rPr>
          <w:sz w:val="24"/>
        </w:rPr>
      </w:pPr>
    </w:p>
    <w:p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rsidR="006B5D24" w:rsidRDefault="006B5D24">
      <w:pPr>
        <w:jc w:val="center"/>
        <w:rPr>
          <w:sz w:val="24"/>
        </w:rPr>
      </w:pPr>
    </w:p>
    <w:p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rsidR="006B5D24" w:rsidRDefault="0043150D">
      <w:pPr>
        <w:jc w:val="both"/>
        <w:rPr>
          <w:sz w:val="24"/>
        </w:rPr>
      </w:pPr>
      <w:r>
        <w:rPr>
          <w:sz w:val="24"/>
        </w:rPr>
        <w:t>Písemná forma reklamace se nevyžaduje v případě havárie, která způsobí nutnost co nejrychlejšího odstranění vady.</w:t>
      </w:r>
    </w:p>
    <w:p w:rsidR="0043150D" w:rsidRDefault="0043150D">
      <w:pPr>
        <w:jc w:val="both"/>
        <w:rPr>
          <w:sz w:val="24"/>
        </w:rPr>
      </w:pPr>
    </w:p>
    <w:p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rsidR="00A0735B" w:rsidRDefault="00A0735B" w:rsidP="00B14ADC">
      <w:pPr>
        <w:keepNext/>
        <w:keepLines/>
        <w:jc w:val="center"/>
        <w:rPr>
          <w:b/>
          <w:sz w:val="24"/>
        </w:rPr>
      </w:pPr>
    </w:p>
    <w:p w:rsidR="00B103B9" w:rsidRDefault="00B103B9" w:rsidP="00B14ADC">
      <w:pPr>
        <w:keepNext/>
        <w:keepLines/>
        <w:jc w:val="center"/>
        <w:rPr>
          <w:b/>
          <w:sz w:val="24"/>
        </w:rPr>
      </w:pPr>
    </w:p>
    <w:p w:rsidR="00D429DA" w:rsidRDefault="00D429DA" w:rsidP="00B14ADC">
      <w:pPr>
        <w:keepNext/>
        <w:keepLines/>
        <w:jc w:val="center"/>
        <w:rPr>
          <w:b/>
          <w:sz w:val="24"/>
        </w:rPr>
      </w:pPr>
      <w:r>
        <w:rPr>
          <w:b/>
          <w:sz w:val="24"/>
        </w:rPr>
        <w:t>V</w:t>
      </w:r>
      <w:r w:rsidR="004A2569">
        <w:rPr>
          <w:b/>
          <w:sz w:val="24"/>
        </w:rPr>
        <w:t>I</w:t>
      </w:r>
      <w:r>
        <w:rPr>
          <w:b/>
          <w:sz w:val="24"/>
        </w:rPr>
        <w:t>I.</w:t>
      </w:r>
    </w:p>
    <w:p w:rsidR="006B5D24" w:rsidRDefault="007674D5" w:rsidP="00B103B9">
      <w:pPr>
        <w:keepNext/>
        <w:keepLines/>
        <w:spacing w:before="60"/>
        <w:jc w:val="center"/>
        <w:rPr>
          <w:sz w:val="24"/>
        </w:rPr>
      </w:pPr>
      <w:r>
        <w:rPr>
          <w:b/>
          <w:sz w:val="24"/>
        </w:rPr>
        <w:t xml:space="preserve"> Sankce</w:t>
      </w:r>
    </w:p>
    <w:p w:rsidR="006B5D24" w:rsidRDefault="006B5D24" w:rsidP="00B14ADC">
      <w:pPr>
        <w:keepNext/>
        <w:keepLines/>
        <w:jc w:val="center"/>
        <w:rPr>
          <w:sz w:val="24"/>
        </w:rPr>
      </w:pPr>
    </w:p>
    <w:p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rsidR="007674D5" w:rsidRDefault="007674D5" w:rsidP="007674D5">
      <w:pPr>
        <w:rPr>
          <w:sz w:val="24"/>
        </w:rPr>
      </w:pPr>
    </w:p>
    <w:p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ve výši 0,10</w:t>
      </w:r>
      <w:r w:rsidR="001A7F2D">
        <w:rPr>
          <w:sz w:val="24"/>
        </w:rPr>
        <w:t xml:space="preserve"> </w:t>
      </w:r>
      <w:r>
        <w:rPr>
          <w:sz w:val="24"/>
        </w:rPr>
        <w:t xml:space="preserve">% z celkové ceny předmětu díla za </w:t>
      </w:r>
      <w:r w:rsidR="006B7035">
        <w:rPr>
          <w:sz w:val="24"/>
        </w:rPr>
        <w:t xml:space="preserve">každý </w:t>
      </w:r>
      <w:r w:rsidR="00C33330">
        <w:rPr>
          <w:sz w:val="24"/>
        </w:rPr>
        <w:t xml:space="preserve">i započatý </w:t>
      </w:r>
      <w:r w:rsidR="006B7035">
        <w:rPr>
          <w:sz w:val="24"/>
        </w:rPr>
        <w:t>den prodlení s odstraněním vady či nedodělku.</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B76414">
      <w:pPr>
        <w:jc w:val="center"/>
        <w:rPr>
          <w:b/>
          <w:sz w:val="24"/>
        </w:rPr>
      </w:pPr>
      <w:r>
        <w:rPr>
          <w:b/>
          <w:sz w:val="24"/>
        </w:rPr>
        <w:t>VI</w:t>
      </w:r>
      <w:r w:rsidR="00324018">
        <w:rPr>
          <w:b/>
          <w:sz w:val="24"/>
        </w:rPr>
        <w:t>I</w:t>
      </w:r>
      <w:r>
        <w:rPr>
          <w:b/>
          <w:sz w:val="24"/>
        </w:rPr>
        <w:t>I.</w:t>
      </w:r>
    </w:p>
    <w:p w:rsidR="00B76414" w:rsidRDefault="00B76414" w:rsidP="00B103B9">
      <w:pPr>
        <w:spacing w:before="60"/>
        <w:jc w:val="center"/>
        <w:rPr>
          <w:b/>
          <w:sz w:val="24"/>
        </w:rPr>
      </w:pPr>
      <w:r>
        <w:rPr>
          <w:b/>
          <w:sz w:val="24"/>
        </w:rPr>
        <w:t>Podmínky provádění díla</w:t>
      </w:r>
    </w:p>
    <w:p w:rsidR="00324018" w:rsidRDefault="00324018" w:rsidP="00B76414">
      <w:pPr>
        <w:jc w:val="center"/>
        <w:rPr>
          <w:b/>
          <w:sz w:val="24"/>
        </w:rPr>
      </w:pP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w:t>
      </w:r>
      <w:proofErr w:type="gramStart"/>
      <w:r w:rsidR="00AC435B" w:rsidRPr="00C91701">
        <w:rPr>
          <w:sz w:val="24"/>
          <w:szCs w:val="24"/>
        </w:rPr>
        <w:t>energie</w:t>
      </w:r>
      <w:proofErr w:type="gramEnd"/>
      <w:r w:rsidR="00AC435B" w:rsidRPr="00C91701">
        <w:rPr>
          <w:sz w:val="24"/>
          <w:szCs w:val="24"/>
        </w:rPr>
        <w:t xml:space="preserv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 xml:space="preserve">Zhotovitel se zavazuje na staveništi (pracovišti) dodržovat bezpečnostní, hygienické, požární a ekologické předpisy, zajistit si vlastní dozor nad bezpečností práce, zajistit si vlastní </w:t>
      </w:r>
      <w:r w:rsidR="00AC435B" w:rsidRPr="00363902">
        <w:rPr>
          <w:sz w:val="24"/>
          <w:szCs w:val="24"/>
        </w:rPr>
        <w:lastRenderedPageBreak/>
        <w:t>požární dozor u těch prací, kde to předepisují požární předpisy a to i po skončení těchto prací v rozsahu stanoveném příslušnými požárními předpisy.</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 a předkládat jej k průběžné kontrole oprávněné osobě objednatele jednající ve věcech technických.</w:t>
      </w:r>
    </w:p>
    <w:p w:rsidR="00AC435B" w:rsidRDefault="00D523A9" w:rsidP="00AC435B">
      <w:pPr>
        <w:tabs>
          <w:tab w:val="left" w:pos="426"/>
        </w:tabs>
        <w:suppressAutoHyphens/>
        <w:autoSpaceDE w:val="0"/>
        <w:spacing w:after="120"/>
        <w:jc w:val="both"/>
        <w:rPr>
          <w:sz w:val="24"/>
          <w:szCs w:val="24"/>
        </w:rPr>
      </w:pPr>
      <w:r>
        <w:rPr>
          <w:sz w:val="24"/>
          <w:szCs w:val="24"/>
        </w:rPr>
        <w:t>8.5</w:t>
      </w:r>
      <w:r w:rsidR="00363902" w:rsidRPr="00363902">
        <w:rPr>
          <w:sz w:val="24"/>
          <w:szCs w:val="24"/>
        </w:rPr>
        <w:t xml:space="preserve">. </w:t>
      </w:r>
      <w:r w:rsidR="00AC435B" w:rsidRPr="00363902">
        <w:rPr>
          <w:sz w:val="24"/>
          <w:szCs w:val="24"/>
        </w:rPr>
        <w:t xml:space="preserve">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00AC435B"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sidR="00363902">
        <w:rPr>
          <w:sz w:val="24"/>
          <w:szCs w:val="24"/>
        </w:rPr>
        <w:t>IV.</w:t>
      </w:r>
      <w:r w:rsidR="00AC435B" w:rsidRPr="00363902">
        <w:rPr>
          <w:sz w:val="24"/>
          <w:szCs w:val="24"/>
        </w:rPr>
        <w:t xml:space="preserve"> této smlouvy a zhotovitel není v prodlení s plněním svých závazků.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B103B9">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.1</w:t>
      </w:r>
      <w:r w:rsidR="00A716DE">
        <w:rPr>
          <w:sz w:val="24"/>
          <w:szCs w:val="24"/>
        </w:rPr>
        <w:t>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Pr="00363902"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A716DE">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stavebních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5454F6" w:rsidRDefault="005454F6">
      <w:pPr>
        <w:jc w:val="center"/>
        <w:rPr>
          <w:b/>
          <w:sz w:val="24"/>
        </w:rPr>
      </w:pPr>
    </w:p>
    <w:p w:rsidR="007570D0" w:rsidRDefault="007570D0">
      <w:pPr>
        <w:jc w:val="center"/>
        <w:rPr>
          <w:b/>
          <w:sz w:val="24"/>
        </w:rPr>
      </w:pPr>
      <w:r>
        <w:rPr>
          <w:b/>
          <w:sz w:val="24"/>
        </w:rPr>
        <w:t>X</w:t>
      </w:r>
      <w:r w:rsidR="008026BD">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7570D0" w:rsidRPr="007570D0" w:rsidRDefault="00D61C9C" w:rsidP="007570D0">
      <w:pPr>
        <w:tabs>
          <w:tab w:val="left" w:pos="426"/>
        </w:tabs>
        <w:suppressAutoHyphens/>
        <w:autoSpaceDE w:val="0"/>
        <w:spacing w:after="120"/>
        <w:jc w:val="both"/>
        <w:rPr>
          <w:sz w:val="24"/>
          <w:szCs w:val="24"/>
        </w:rPr>
      </w:pPr>
      <w:r>
        <w:rPr>
          <w:sz w:val="24"/>
          <w:szCs w:val="24"/>
        </w:rPr>
        <w:t>1</w:t>
      </w:r>
      <w:r w:rsidR="008026BD">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rsidR="00914848" w:rsidRDefault="00914848" w:rsidP="00914848">
      <w:pPr>
        <w:jc w:val="both"/>
        <w:rPr>
          <w:sz w:val="24"/>
          <w:szCs w:val="24"/>
        </w:rPr>
      </w:pPr>
      <w:r>
        <w:rPr>
          <w:sz w:val="24"/>
          <w:szCs w:val="24"/>
        </w:rPr>
        <w:t xml:space="preserve">11.2.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rsidR="007570D0" w:rsidRPr="007570D0" w:rsidRDefault="008026BD" w:rsidP="00766A6A">
      <w:pPr>
        <w:tabs>
          <w:tab w:val="left" w:pos="426"/>
        </w:tabs>
        <w:suppressAutoHyphens/>
        <w:autoSpaceDE w:val="0"/>
        <w:spacing w:before="120" w:after="120"/>
        <w:jc w:val="both"/>
        <w:rPr>
          <w:sz w:val="24"/>
          <w:szCs w:val="24"/>
        </w:rPr>
      </w:pPr>
      <w:r>
        <w:rPr>
          <w:sz w:val="24"/>
          <w:szCs w:val="24"/>
        </w:rPr>
        <w:t>11</w:t>
      </w:r>
      <w:r w:rsidR="007570D0">
        <w:rPr>
          <w:sz w:val="24"/>
          <w:szCs w:val="24"/>
        </w:rPr>
        <w:t>.</w:t>
      </w:r>
      <w:r w:rsidR="00766A6A">
        <w:rPr>
          <w:sz w:val="24"/>
          <w:szCs w:val="24"/>
        </w:rPr>
        <w:t>3</w:t>
      </w:r>
      <w:r w:rsidR="007570D0">
        <w:rPr>
          <w:sz w:val="24"/>
          <w:szCs w:val="24"/>
        </w:rPr>
        <w:t xml:space="preserve">.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rsid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w:t>
      </w:r>
      <w:r w:rsidR="00766A6A">
        <w:rPr>
          <w:sz w:val="24"/>
          <w:szCs w:val="24"/>
        </w:rPr>
        <w:t>4</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rsidR="006C5D31" w:rsidRDefault="00766A6A" w:rsidP="006C5D31">
      <w:pPr>
        <w:tabs>
          <w:tab w:val="left" w:pos="426"/>
        </w:tabs>
        <w:suppressAutoHyphens/>
        <w:autoSpaceDE w:val="0"/>
        <w:spacing w:after="120"/>
        <w:jc w:val="both"/>
        <w:rPr>
          <w:sz w:val="24"/>
          <w:szCs w:val="24"/>
        </w:rPr>
      </w:pPr>
      <w:r>
        <w:rPr>
          <w:sz w:val="24"/>
          <w:szCs w:val="24"/>
        </w:rPr>
        <w:t>11.5</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rsidR="009B0CBC" w:rsidRDefault="008026BD" w:rsidP="006C5D31">
      <w:pPr>
        <w:jc w:val="both"/>
        <w:rPr>
          <w:sz w:val="24"/>
          <w:szCs w:val="24"/>
        </w:rPr>
      </w:pPr>
      <w:r>
        <w:rPr>
          <w:sz w:val="24"/>
          <w:szCs w:val="24"/>
        </w:rPr>
        <w:t>11</w:t>
      </w:r>
      <w:r w:rsidR="009B0CBC" w:rsidRPr="009B0CBC">
        <w:rPr>
          <w:sz w:val="24"/>
          <w:szCs w:val="24"/>
        </w:rPr>
        <w:t>.</w:t>
      </w:r>
      <w:r w:rsidR="00766A6A">
        <w:rPr>
          <w:sz w:val="24"/>
          <w:szCs w:val="24"/>
        </w:rPr>
        <w:t>6</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dne ……</w:t>
      </w:r>
      <w:proofErr w:type="gramStart"/>
      <w:r w:rsidR="009B0CBC" w:rsidRPr="009B0CBC">
        <w:rPr>
          <w:sz w:val="24"/>
          <w:szCs w:val="24"/>
        </w:rPr>
        <w:t xml:space="preserve">…. </w:t>
      </w:r>
      <w:r w:rsidR="009B0CBC">
        <w:rPr>
          <w:sz w:val="24"/>
          <w:szCs w:val="24"/>
        </w:rPr>
        <w:t>, usnesením</w:t>
      </w:r>
      <w:proofErr w:type="gramEnd"/>
      <w:r w:rsidR="009B0CBC">
        <w:rPr>
          <w:sz w:val="24"/>
          <w:szCs w:val="24"/>
        </w:rPr>
        <w:t xml:space="preserve"> č………</w:t>
      </w:r>
      <w:r w:rsidR="009B0CBC" w:rsidRPr="009B0CBC">
        <w:rPr>
          <w:sz w:val="24"/>
          <w:szCs w:val="24"/>
        </w:rPr>
        <w:t>.</w:t>
      </w: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66958">
        <w:rPr>
          <w:sz w:val="24"/>
          <w:szCs w:val="24"/>
        </w:rPr>
        <w:t xml:space="preserve">- </w:t>
      </w:r>
      <w:r w:rsidRPr="007570D0">
        <w:rPr>
          <w:sz w:val="24"/>
          <w:szCs w:val="24"/>
        </w:rPr>
        <w:t>Cenová</w:t>
      </w:r>
      <w:proofErr w:type="gramEnd"/>
      <w:r w:rsidRPr="007570D0">
        <w:rPr>
          <w:sz w:val="24"/>
          <w:szCs w:val="24"/>
        </w:rPr>
        <w:t xml:space="preserve"> nabídka zhotovitele – oceněný výkaz výměr</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bookmarkStart w:id="0" w:name="_GoBack"/>
      <w:bookmarkEnd w:id="0"/>
    </w:p>
    <w:p w:rsidR="006B5D24" w:rsidRDefault="006B5D24">
      <w:pPr>
        <w:tabs>
          <w:tab w:val="left" w:pos="5103"/>
        </w:tabs>
        <w:rPr>
          <w:sz w:val="24"/>
        </w:rPr>
      </w:pPr>
      <w:r>
        <w:rPr>
          <w:sz w:val="24"/>
        </w:rPr>
        <w:lastRenderedPageBreak/>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662" w:rsidRDefault="00707662">
      <w:r>
        <w:separator/>
      </w:r>
    </w:p>
  </w:endnote>
  <w:endnote w:type="continuationSeparator" w:id="0">
    <w:p w:rsidR="00707662" w:rsidRDefault="0070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9533"/>
      <w:docPartObj>
        <w:docPartGallery w:val="Page Numbers (Bottom of Page)"/>
        <w:docPartUnique/>
      </w:docPartObj>
    </w:sdtPr>
    <w:sdtEndPr/>
    <w:sdtContent>
      <w:p w:rsidR="00A0735B" w:rsidRDefault="00334C09">
        <w:pPr>
          <w:pStyle w:val="Zpat"/>
          <w:jc w:val="right"/>
        </w:pPr>
        <w:r>
          <w:fldChar w:fldCharType="begin"/>
        </w:r>
        <w:r w:rsidR="003E2134">
          <w:instrText xml:space="preserve"> PAGE   \* MERGEFORMAT </w:instrText>
        </w:r>
        <w:r>
          <w:fldChar w:fldCharType="separate"/>
        </w:r>
        <w:r w:rsidR="00D53569">
          <w:rPr>
            <w:noProof/>
          </w:rPr>
          <w:t>7</w:t>
        </w:r>
        <w:r>
          <w:rPr>
            <w:noProof/>
          </w:rPr>
          <w:fldChar w:fldCharType="end"/>
        </w:r>
      </w:p>
    </w:sdtContent>
  </w:sdt>
  <w:p w:rsidR="00A0735B" w:rsidRDefault="00A0735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662" w:rsidRDefault="00707662">
      <w:r>
        <w:separator/>
      </w:r>
    </w:p>
  </w:footnote>
  <w:footnote w:type="continuationSeparator" w:id="0">
    <w:p w:rsidR="00707662" w:rsidRDefault="007076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6"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0"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3"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2"/>
  </w:num>
  <w:num w:numId="3">
    <w:abstractNumId w:val="5"/>
  </w:num>
  <w:num w:numId="4">
    <w:abstractNumId w:val="13"/>
  </w:num>
  <w:num w:numId="5">
    <w:abstractNumId w:val="11"/>
  </w:num>
  <w:num w:numId="6">
    <w:abstractNumId w:val="4"/>
  </w:num>
  <w:num w:numId="7">
    <w:abstractNumId w:val="7"/>
  </w:num>
  <w:num w:numId="8">
    <w:abstractNumId w:val="10"/>
  </w:num>
  <w:num w:numId="9">
    <w:abstractNumId w:val="6"/>
  </w:num>
  <w:num w:numId="10">
    <w:abstractNumId w:val="1"/>
  </w:num>
  <w:num w:numId="11">
    <w:abstractNumId w:val="2"/>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6223"/>
    <w:rsid w:val="0029493F"/>
    <w:rsid w:val="002C0D6A"/>
    <w:rsid w:val="002C3465"/>
    <w:rsid w:val="002C513C"/>
    <w:rsid w:val="002D3994"/>
    <w:rsid w:val="002D4136"/>
    <w:rsid w:val="002D524B"/>
    <w:rsid w:val="002E2A36"/>
    <w:rsid w:val="002E7EB5"/>
    <w:rsid w:val="002F38C2"/>
    <w:rsid w:val="002F479B"/>
    <w:rsid w:val="00302C16"/>
    <w:rsid w:val="003152D3"/>
    <w:rsid w:val="003217C3"/>
    <w:rsid w:val="00324018"/>
    <w:rsid w:val="00330C1C"/>
    <w:rsid w:val="003345EE"/>
    <w:rsid w:val="00334C09"/>
    <w:rsid w:val="00351393"/>
    <w:rsid w:val="00363902"/>
    <w:rsid w:val="00383F08"/>
    <w:rsid w:val="0038739A"/>
    <w:rsid w:val="0039043D"/>
    <w:rsid w:val="00394A28"/>
    <w:rsid w:val="00396424"/>
    <w:rsid w:val="003A1070"/>
    <w:rsid w:val="003A6D70"/>
    <w:rsid w:val="003B5D8A"/>
    <w:rsid w:val="003B735A"/>
    <w:rsid w:val="003B74C2"/>
    <w:rsid w:val="003C0125"/>
    <w:rsid w:val="003D5A36"/>
    <w:rsid w:val="003E2134"/>
    <w:rsid w:val="003E460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454F6"/>
    <w:rsid w:val="005543F0"/>
    <w:rsid w:val="00575A17"/>
    <w:rsid w:val="005806BA"/>
    <w:rsid w:val="00580851"/>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5479A"/>
    <w:rsid w:val="00666046"/>
    <w:rsid w:val="00672C1F"/>
    <w:rsid w:val="006A003F"/>
    <w:rsid w:val="006B5D24"/>
    <w:rsid w:val="006B7035"/>
    <w:rsid w:val="006C5D31"/>
    <w:rsid w:val="006C7B13"/>
    <w:rsid w:val="006D45FE"/>
    <w:rsid w:val="006E1D7F"/>
    <w:rsid w:val="006F6446"/>
    <w:rsid w:val="006F7B16"/>
    <w:rsid w:val="00707662"/>
    <w:rsid w:val="0074326D"/>
    <w:rsid w:val="007532B3"/>
    <w:rsid w:val="007570D0"/>
    <w:rsid w:val="007609D6"/>
    <w:rsid w:val="00765C2A"/>
    <w:rsid w:val="00766A6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14848"/>
    <w:rsid w:val="009273FF"/>
    <w:rsid w:val="009325A7"/>
    <w:rsid w:val="00942267"/>
    <w:rsid w:val="00947623"/>
    <w:rsid w:val="00952C46"/>
    <w:rsid w:val="00957C25"/>
    <w:rsid w:val="00977098"/>
    <w:rsid w:val="009A7B2E"/>
    <w:rsid w:val="009B0CBC"/>
    <w:rsid w:val="009B2ADF"/>
    <w:rsid w:val="009B7A97"/>
    <w:rsid w:val="009C389B"/>
    <w:rsid w:val="009C7B39"/>
    <w:rsid w:val="009C7D07"/>
    <w:rsid w:val="009D2D68"/>
    <w:rsid w:val="009D4EC2"/>
    <w:rsid w:val="009D6B86"/>
    <w:rsid w:val="009F3720"/>
    <w:rsid w:val="009F7697"/>
    <w:rsid w:val="00A006D1"/>
    <w:rsid w:val="00A068B5"/>
    <w:rsid w:val="00A0735B"/>
    <w:rsid w:val="00A14D3C"/>
    <w:rsid w:val="00A2662F"/>
    <w:rsid w:val="00A31159"/>
    <w:rsid w:val="00A45900"/>
    <w:rsid w:val="00A47436"/>
    <w:rsid w:val="00A528FE"/>
    <w:rsid w:val="00A63DD4"/>
    <w:rsid w:val="00A64F13"/>
    <w:rsid w:val="00A716DE"/>
    <w:rsid w:val="00A8348B"/>
    <w:rsid w:val="00A83BD0"/>
    <w:rsid w:val="00A91E12"/>
    <w:rsid w:val="00A93BF4"/>
    <w:rsid w:val="00AA44FA"/>
    <w:rsid w:val="00AB1BEA"/>
    <w:rsid w:val="00AC383A"/>
    <w:rsid w:val="00AC3B1F"/>
    <w:rsid w:val="00AC435B"/>
    <w:rsid w:val="00AE71D9"/>
    <w:rsid w:val="00AF2174"/>
    <w:rsid w:val="00AF2720"/>
    <w:rsid w:val="00B103B9"/>
    <w:rsid w:val="00B14ADC"/>
    <w:rsid w:val="00B260EB"/>
    <w:rsid w:val="00B2643C"/>
    <w:rsid w:val="00B4099B"/>
    <w:rsid w:val="00B4422E"/>
    <w:rsid w:val="00B44952"/>
    <w:rsid w:val="00B52EE9"/>
    <w:rsid w:val="00B7030D"/>
    <w:rsid w:val="00B76414"/>
    <w:rsid w:val="00B83834"/>
    <w:rsid w:val="00B95E86"/>
    <w:rsid w:val="00B973AD"/>
    <w:rsid w:val="00BA2535"/>
    <w:rsid w:val="00BA49C4"/>
    <w:rsid w:val="00BB3D81"/>
    <w:rsid w:val="00BF35CB"/>
    <w:rsid w:val="00BF4F34"/>
    <w:rsid w:val="00BF6A3A"/>
    <w:rsid w:val="00BF7B64"/>
    <w:rsid w:val="00C0014C"/>
    <w:rsid w:val="00C23749"/>
    <w:rsid w:val="00C33330"/>
    <w:rsid w:val="00C33A25"/>
    <w:rsid w:val="00C3654E"/>
    <w:rsid w:val="00C4053A"/>
    <w:rsid w:val="00C40B6B"/>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36051"/>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92CC1"/>
    <w:rsid w:val="00F9607E"/>
    <w:rsid w:val="00FA2987"/>
    <w:rsid w:val="00FC402A"/>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CF167-88E8-4A02-9340-B60CE22C4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2064</Words>
  <Characters>12181</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14217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skoleni</cp:lastModifiedBy>
  <cp:revision>4</cp:revision>
  <cp:lastPrinted>2016-02-01T15:02:00Z</cp:lastPrinted>
  <dcterms:created xsi:type="dcterms:W3CDTF">2017-06-15T07:58:00Z</dcterms:created>
  <dcterms:modified xsi:type="dcterms:W3CDTF">2017-06-15T08:00:00Z</dcterms:modified>
</cp:coreProperties>
</file>